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D33FC" w14:textId="77777777" w:rsidR="00430055" w:rsidRDefault="00430055" w:rsidP="00811B3C">
      <w:pPr>
        <w:spacing w:before="0" w:after="0" w:line="240" w:lineRule="auto"/>
        <w:jc w:val="left"/>
        <w:rPr>
          <w:rFonts w:ascii="Calibri" w:hAnsi="Calibri" w:cs="Calibri"/>
          <w:sz w:val="20"/>
          <w:szCs w:val="20"/>
        </w:rPr>
      </w:pPr>
      <w:bookmarkStart w:id="0" w:name="_Hlk112753106"/>
    </w:p>
    <w:p w14:paraId="28DEEF7B" w14:textId="77777777" w:rsidR="00430055" w:rsidRDefault="00430055" w:rsidP="00811B3C">
      <w:pPr>
        <w:spacing w:before="0" w:after="0" w:line="240" w:lineRule="auto"/>
        <w:jc w:val="left"/>
        <w:rPr>
          <w:rFonts w:ascii="Calibri" w:hAnsi="Calibri" w:cs="Calibri"/>
          <w:sz w:val="20"/>
          <w:szCs w:val="20"/>
        </w:rPr>
      </w:pPr>
    </w:p>
    <w:p w14:paraId="1923C33E" w14:textId="4D1D3E99" w:rsidR="00811B3C" w:rsidRPr="00CA1DF7" w:rsidRDefault="00F07B93" w:rsidP="00811B3C">
      <w:pPr>
        <w:spacing w:before="0" w:after="0" w:line="240" w:lineRule="auto"/>
        <w:jc w:val="left"/>
        <w:rPr>
          <w:rFonts w:ascii="Calibri" w:hAnsi="Calibri" w:cs="Calibri"/>
          <w:sz w:val="20"/>
          <w:szCs w:val="20"/>
        </w:rPr>
      </w:pPr>
      <w:r w:rsidRPr="00CA1DF7">
        <w:rPr>
          <w:rFonts w:ascii="Calibri" w:hAnsi="Calibri" w:cs="Calibri"/>
          <w:sz w:val="20"/>
          <w:szCs w:val="20"/>
        </w:rPr>
        <w:t>“</w:t>
      </w:r>
      <w:r w:rsidR="007E4103" w:rsidRPr="00CA1DF7">
        <w:rPr>
          <w:rFonts w:ascii="Calibri" w:hAnsi="Calibri" w:cs="Calibri"/>
          <w:sz w:val="20"/>
          <w:szCs w:val="20"/>
        </w:rPr>
        <w:t xml:space="preserve">Dichiarazione </w:t>
      </w:r>
      <w:r w:rsidR="00790041" w:rsidRPr="00CA1DF7">
        <w:rPr>
          <w:rFonts w:ascii="Calibri" w:hAnsi="Calibri" w:cs="Calibri"/>
          <w:sz w:val="20"/>
          <w:szCs w:val="20"/>
        </w:rPr>
        <w:t>DNSH” -</w:t>
      </w:r>
      <w:r w:rsidR="008E3C3B" w:rsidRPr="00CA1DF7">
        <w:rPr>
          <w:rFonts w:ascii="Calibri" w:hAnsi="Calibri" w:cs="Calibri"/>
          <w:sz w:val="20"/>
          <w:szCs w:val="20"/>
        </w:rPr>
        <w:t xml:space="preserve"> Appendice C”</w:t>
      </w:r>
      <w:r w:rsidR="00CA1DF7" w:rsidRPr="00CA1DF7">
        <w:rPr>
          <w:rStyle w:val="Rimandonotaapidipagina"/>
          <w:rFonts w:ascii="Calibri" w:hAnsi="Calibri" w:cs="Calibri"/>
          <w:sz w:val="20"/>
          <w:szCs w:val="20"/>
          <w:vertAlign w:val="superscript"/>
        </w:rPr>
        <w:footnoteReference w:id="2"/>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7887D718" w:rsidR="00711CE8" w:rsidRDefault="00503D6C" w:rsidP="00811B3C">
      <w:pPr>
        <w:spacing w:before="0" w:after="0" w:line="240" w:lineRule="auto"/>
        <w:contextualSpacing/>
        <w:rPr>
          <w:rFonts w:ascii="Calibri" w:eastAsia="Calibri" w:hAnsi="Calibri" w:cs="Calibri"/>
          <w:caps/>
          <w:sz w:val="20"/>
          <w:szCs w:val="20"/>
        </w:rPr>
      </w:pPr>
      <w:r w:rsidRPr="00503D6C">
        <w:rPr>
          <w:rFonts w:ascii="Calibri" w:eastAsia="Calibri" w:hAnsi="Calibri" w:cs="Calibri"/>
          <w:caps/>
          <w:sz w:val="20"/>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A145BE" w:rsidRPr="00A145BE">
        <w:rPr>
          <w:rFonts w:ascii="Calibri" w:eastAsia="Calibri" w:hAnsi="Calibri" w:cs="Calibri"/>
          <w:caps/>
          <w:sz w:val="20"/>
          <w:szCs w:val="20"/>
        </w:rPr>
        <w:t>LOTTO 1 CIG B2554D1A71- LOTTO 2 CIG B2554D2B44 -LOTTO 3 CIG B2554D3C17 - LOTTO 4 CIG B2554D4CEA - LOTTO 5 CIG B2554D5DBD -LOTTO 6 CIG B2554D6E90</w:t>
      </w:r>
    </w:p>
    <w:p w14:paraId="15744260" w14:textId="77777777" w:rsidR="00503D6C" w:rsidRPr="00811B3C" w:rsidRDefault="00503D6C"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14D14E78" w14:textId="6E87AE23" w:rsidR="00811B3C" w:rsidRDefault="007E4103" w:rsidP="007E4103">
      <w:pPr>
        <w:widowControl w:val="0"/>
        <w:spacing w:before="0" w:after="0" w:line="240" w:lineRule="auto"/>
        <w:rPr>
          <w:rFonts w:ascii="Calibri" w:hAnsi="Calibri" w:cs="Arial"/>
          <w:sz w:val="22"/>
          <w:szCs w:val="22"/>
        </w:rPr>
      </w:pPr>
      <w:r w:rsidRPr="007E4103">
        <w:rPr>
          <w:rFonts w:ascii="Calibri" w:hAnsi="Calibri"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7E4103">
        <w:rPr>
          <w:rFonts w:ascii="Calibri" w:hAnsi="Calibri" w:cs="Arial"/>
          <w:sz w:val="22"/>
          <w:szCs w:val="22"/>
        </w:rPr>
        <w:t>ss.mm.ii</w:t>
      </w:r>
      <w:proofErr w:type="spellEnd"/>
      <w:r w:rsidRPr="007E4103">
        <w:rPr>
          <w:rFonts w:ascii="Calibri" w:hAnsi="Calibri" w:cs="Arial"/>
          <w:sz w:val="22"/>
          <w:szCs w:val="22"/>
        </w:rPr>
        <w:t>. e in ottemperanza a quanto disposto dall’art. 27 comma 2 del Decreto-Legge 24 febbraio 2023, n. 13 recante “Disposizioni urgenti per l'attuazione del Piano nazionale di ripresa e resilienza (PNRR) e del Piano nazionale degli investimenti complementari al PNRR (PNC), nonché per l'attuazione delle politiche di coesione e della politica agricola comune”</w:t>
      </w:r>
    </w:p>
    <w:p w14:paraId="0FAA45BB" w14:textId="77777777" w:rsidR="003B7738" w:rsidRDefault="003B7738" w:rsidP="007E4103">
      <w:pPr>
        <w:widowControl w:val="0"/>
        <w:spacing w:before="0" w:after="0" w:line="240" w:lineRule="auto"/>
        <w:rPr>
          <w:rFonts w:ascii="Calibri" w:hAnsi="Calibri" w:cs="Arial"/>
          <w:sz w:val="22"/>
          <w:szCs w:val="22"/>
        </w:rPr>
      </w:pPr>
    </w:p>
    <w:p w14:paraId="4862B190" w14:textId="15D1C9DC" w:rsidR="007E4103" w:rsidRDefault="007E4103" w:rsidP="007E4103">
      <w:pPr>
        <w:widowControl w:val="0"/>
        <w:spacing w:before="0" w:after="0" w:line="240" w:lineRule="auto"/>
        <w:jc w:val="center"/>
        <w:rPr>
          <w:rFonts w:ascii="Calibri" w:hAnsi="Calibri" w:cs="Arial"/>
          <w:b/>
          <w:bCs/>
          <w:sz w:val="22"/>
          <w:szCs w:val="22"/>
        </w:rPr>
      </w:pPr>
      <w:r w:rsidRPr="007E4103">
        <w:rPr>
          <w:rFonts w:ascii="Calibri" w:hAnsi="Calibri" w:cs="Arial"/>
          <w:b/>
          <w:bCs/>
          <w:sz w:val="22"/>
          <w:szCs w:val="22"/>
        </w:rPr>
        <w:t>DICHIARA</w:t>
      </w:r>
    </w:p>
    <w:p w14:paraId="7E49E8AD" w14:textId="77777777" w:rsidR="003B7738" w:rsidRDefault="003B7738" w:rsidP="007E4103">
      <w:pPr>
        <w:widowControl w:val="0"/>
        <w:spacing w:before="0" w:after="0" w:line="240" w:lineRule="auto"/>
        <w:jc w:val="center"/>
        <w:rPr>
          <w:rFonts w:ascii="Calibri" w:hAnsi="Calibri" w:cs="Arial"/>
          <w:b/>
          <w:bCs/>
          <w:sz w:val="22"/>
          <w:szCs w:val="22"/>
        </w:rPr>
      </w:pPr>
    </w:p>
    <w:p w14:paraId="40764758" w14:textId="241AE575" w:rsidR="001F5AAA" w:rsidRDefault="00E90711" w:rsidP="001F5AAA">
      <w:pPr>
        <w:widowControl w:val="0"/>
        <w:spacing w:before="0" w:after="0" w:line="240" w:lineRule="auto"/>
        <w:rPr>
          <w:rFonts w:asciiTheme="minorHAnsi" w:hAnsiTheme="minorHAnsi" w:cstheme="minorHAnsi"/>
          <w:sz w:val="22"/>
          <w:szCs w:val="22"/>
        </w:rPr>
      </w:pPr>
      <w:r w:rsidRPr="003B7738">
        <w:rPr>
          <w:rFonts w:asciiTheme="minorHAnsi" w:hAnsiTheme="minorHAnsi" w:cstheme="minorHAnsi"/>
          <w:sz w:val="22"/>
          <w:szCs w:val="22"/>
        </w:rPr>
        <w:t xml:space="preserve">che </w:t>
      </w:r>
      <w:r w:rsidR="003B7738" w:rsidRPr="003B7738">
        <w:rPr>
          <w:rFonts w:asciiTheme="minorHAnsi" w:hAnsiTheme="minorHAnsi" w:cstheme="minorHAnsi"/>
          <w:sz w:val="22"/>
          <w:szCs w:val="22"/>
        </w:rPr>
        <w:t xml:space="preserve">il bene </w:t>
      </w:r>
      <w:r w:rsidR="00496121">
        <w:rPr>
          <w:rFonts w:asciiTheme="minorHAnsi" w:hAnsiTheme="minorHAnsi" w:cstheme="minorHAnsi"/>
          <w:sz w:val="22"/>
          <w:szCs w:val="22"/>
        </w:rPr>
        <w:t>offerto</w:t>
      </w:r>
      <w:r w:rsidR="00114B50">
        <w:rPr>
          <w:rFonts w:asciiTheme="minorHAnsi" w:hAnsiTheme="minorHAnsi" w:cstheme="minorHAnsi"/>
          <w:sz w:val="22"/>
          <w:szCs w:val="22"/>
        </w:rPr>
        <w:t>,</w:t>
      </w:r>
      <w:r w:rsidR="003B7738" w:rsidRPr="003B7738">
        <w:rPr>
          <w:rFonts w:asciiTheme="minorHAnsi" w:hAnsiTheme="minorHAnsi" w:cstheme="minorHAnsi"/>
          <w:sz w:val="22"/>
          <w:szCs w:val="22"/>
        </w:rPr>
        <w:t xml:space="preserve"> </w:t>
      </w:r>
      <w:r w:rsidRPr="003B7738">
        <w:rPr>
          <w:rFonts w:asciiTheme="minorHAnsi" w:hAnsiTheme="minorHAnsi" w:cstheme="minorHAnsi"/>
          <w:sz w:val="22"/>
          <w:szCs w:val="22"/>
        </w:rPr>
        <w:t>relativ</w:t>
      </w:r>
      <w:r w:rsidR="003B7738" w:rsidRPr="003B7738">
        <w:rPr>
          <w:rFonts w:asciiTheme="minorHAnsi" w:hAnsiTheme="minorHAnsi" w:cstheme="minorHAnsi"/>
          <w:sz w:val="22"/>
          <w:szCs w:val="22"/>
        </w:rPr>
        <w:t>o</w:t>
      </w:r>
      <w:r w:rsidRPr="003B7738">
        <w:rPr>
          <w:rFonts w:asciiTheme="minorHAnsi" w:hAnsiTheme="minorHAnsi" w:cstheme="minorHAnsi"/>
          <w:sz w:val="22"/>
          <w:szCs w:val="22"/>
        </w:rPr>
        <w:t xml:space="preserve"> all’affidamento indicato in oggetto</w:t>
      </w:r>
      <w:r w:rsidR="00114B50">
        <w:rPr>
          <w:rFonts w:asciiTheme="minorHAnsi" w:hAnsiTheme="minorHAnsi" w:cstheme="minorHAnsi"/>
          <w:sz w:val="22"/>
          <w:szCs w:val="22"/>
        </w:rPr>
        <w:t>,</w:t>
      </w:r>
      <w:r w:rsidR="003B7738" w:rsidRPr="003B7738">
        <w:rPr>
          <w:rFonts w:asciiTheme="minorHAnsi" w:hAnsiTheme="minorHAnsi" w:cstheme="minorHAnsi"/>
          <w:sz w:val="22"/>
          <w:szCs w:val="22"/>
        </w:rPr>
        <w:t xml:space="preserve"> è </w:t>
      </w:r>
      <w:r w:rsidR="00790041" w:rsidRPr="003B7738">
        <w:rPr>
          <w:rFonts w:asciiTheme="minorHAnsi" w:hAnsiTheme="minorHAnsi" w:cstheme="minorHAnsi"/>
          <w:sz w:val="22"/>
          <w:szCs w:val="22"/>
        </w:rPr>
        <w:t>coerente con</w:t>
      </w:r>
      <w:r w:rsidR="003B7738" w:rsidRPr="003B7738">
        <w:rPr>
          <w:rFonts w:asciiTheme="minorHAnsi" w:hAnsiTheme="minorHAnsi" w:cstheme="minorHAnsi"/>
          <w:sz w:val="22"/>
          <w:szCs w:val="22"/>
        </w:rPr>
        <w:t xml:space="preserve"> i principi e gli obblighi per il </w:t>
      </w:r>
      <w:r w:rsidRPr="003B7738">
        <w:rPr>
          <w:rFonts w:asciiTheme="minorHAnsi" w:hAnsiTheme="minorHAnsi" w:cstheme="minorHAnsi"/>
          <w:sz w:val="22"/>
          <w:szCs w:val="22"/>
        </w:rPr>
        <w:t>rispetto del principio DNSH di cui all’art. 17 del Reg. (UE) 2020/852</w:t>
      </w:r>
      <w:bookmarkEnd w:id="0"/>
      <w:r w:rsidR="001F5AAA">
        <w:rPr>
          <w:rFonts w:asciiTheme="minorHAnsi" w:hAnsiTheme="minorHAnsi" w:cstheme="minorHAnsi"/>
          <w:sz w:val="22"/>
          <w:szCs w:val="22"/>
        </w:rPr>
        <w:t xml:space="preserve"> e che </w:t>
      </w:r>
      <w:r w:rsidR="001F5AAA" w:rsidRPr="001F5AAA">
        <w:rPr>
          <w:rFonts w:asciiTheme="minorHAnsi" w:hAnsiTheme="minorHAnsi" w:cstheme="minorHAnsi"/>
          <w:sz w:val="22"/>
          <w:szCs w:val="22"/>
        </w:rPr>
        <w:t xml:space="preserve">le attività economiche </w:t>
      </w:r>
      <w:r w:rsidR="001F5AAA">
        <w:rPr>
          <w:rFonts w:asciiTheme="minorHAnsi" w:hAnsiTheme="minorHAnsi" w:cstheme="minorHAnsi"/>
          <w:sz w:val="22"/>
          <w:szCs w:val="22"/>
        </w:rPr>
        <w:t xml:space="preserve">inerenti il bene offerto </w:t>
      </w:r>
      <w:r w:rsidR="001F5AAA" w:rsidRPr="001F5AAA">
        <w:rPr>
          <w:rFonts w:asciiTheme="minorHAnsi" w:hAnsiTheme="minorHAnsi" w:cstheme="minorHAnsi"/>
          <w:sz w:val="22"/>
          <w:szCs w:val="22"/>
        </w:rPr>
        <w:t>rispettano il principio DNSH di “</w:t>
      </w:r>
      <w:r w:rsidR="001F5AAA" w:rsidRPr="001F5AAA">
        <w:rPr>
          <w:rFonts w:asciiTheme="minorHAnsi" w:hAnsiTheme="minorHAnsi" w:cstheme="minorHAnsi"/>
          <w:i/>
          <w:iCs/>
          <w:sz w:val="22"/>
          <w:szCs w:val="22"/>
        </w:rPr>
        <w:t>Prevenzione e riduzione dell’inquinamento</w:t>
      </w:r>
      <w:r w:rsidR="001F5AAA" w:rsidRPr="001F5AAA">
        <w:rPr>
          <w:rFonts w:asciiTheme="minorHAnsi" w:hAnsiTheme="minorHAnsi" w:cstheme="minorHAnsi"/>
          <w:sz w:val="22"/>
          <w:szCs w:val="22"/>
        </w:rPr>
        <w:t xml:space="preserve">” </w:t>
      </w:r>
      <w:r w:rsidR="001F5AAA">
        <w:rPr>
          <w:rFonts w:asciiTheme="minorHAnsi" w:hAnsiTheme="minorHAnsi" w:cstheme="minorHAnsi"/>
          <w:sz w:val="22"/>
          <w:szCs w:val="22"/>
        </w:rPr>
        <w:t xml:space="preserve">in quanto </w:t>
      </w:r>
      <w:r w:rsidR="001F5AAA" w:rsidRPr="001F5AAA">
        <w:rPr>
          <w:rFonts w:asciiTheme="minorHAnsi" w:hAnsiTheme="minorHAnsi" w:cstheme="minorHAnsi"/>
          <w:sz w:val="22"/>
          <w:szCs w:val="22"/>
        </w:rPr>
        <w:t xml:space="preserve">non </w:t>
      </w:r>
      <w:r w:rsidR="001F5AAA" w:rsidRPr="001F5AAA">
        <w:rPr>
          <w:rFonts w:asciiTheme="minorHAnsi" w:hAnsiTheme="minorHAnsi" w:cstheme="minorHAnsi"/>
          <w:sz w:val="22"/>
          <w:szCs w:val="22"/>
        </w:rPr>
        <w:lastRenderedPageBreak/>
        <w:t xml:space="preserve">comportano la fabbricazione, l’immissione in commercio o l’uso di: </w:t>
      </w:r>
    </w:p>
    <w:p w14:paraId="22B87218" w14:textId="77777777" w:rsidR="001F5AAA" w:rsidRDefault="001F5AAA" w:rsidP="001F5AAA">
      <w:pPr>
        <w:widowControl w:val="0"/>
        <w:spacing w:before="0" w:after="0" w:line="240" w:lineRule="auto"/>
        <w:rPr>
          <w:rFonts w:asciiTheme="minorHAnsi" w:hAnsiTheme="minorHAnsi" w:cstheme="minorHAnsi"/>
          <w:sz w:val="22"/>
          <w:szCs w:val="22"/>
        </w:rPr>
      </w:pPr>
    </w:p>
    <w:p w14:paraId="55E3D35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elencate nell’allegato I o II del regolamento (UE) 2019/1021, tranne nel caso di sostanze presenti sotto forma di contaminanti non intenzionali in tracce (link ove consultare il regolamento https://eur- lex.europa.eu/</w:t>
      </w:r>
      <w:proofErr w:type="spellStart"/>
      <w:r w:rsidRPr="001F5AAA">
        <w:rPr>
          <w:rFonts w:asciiTheme="minorHAnsi" w:hAnsiTheme="minorHAnsi" w:cstheme="minorHAnsi"/>
          <w:sz w:val="22"/>
          <w:szCs w:val="22"/>
        </w:rPr>
        <w:t>legalcontent</w:t>
      </w:r>
      <w:proofErr w:type="spellEnd"/>
      <w:r w:rsidRPr="001F5AAA">
        <w:rPr>
          <w:rFonts w:asciiTheme="minorHAnsi" w:hAnsiTheme="minorHAnsi" w:cstheme="minorHAnsi"/>
          <w:sz w:val="22"/>
          <w:szCs w:val="22"/>
        </w:rPr>
        <w:t>/IT/TXT/PDF/?uri=CELEX:32019R1021);</w:t>
      </w:r>
    </w:p>
    <w:p w14:paraId="06E7693B"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mercurio, composti del mercurio, miscele di mercurio e prodotti con aggiunta di mercurio, quali definiti all’articolo 2 del regolamento (UE) 2017/852; </w:t>
      </w:r>
    </w:p>
    <w:p w14:paraId="70BBA79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 o II del regolamento (CE) n. 1005/2009 (link ove consultare il regolamento </w:t>
      </w:r>
      <w:hyperlink r:id="rId11" w:history="1">
        <w:r w:rsidRPr="001F5AAA">
          <w:rPr>
            <w:rStyle w:val="Collegamentoipertestuale"/>
            <w:rFonts w:asciiTheme="minorHAnsi" w:hAnsiTheme="minorHAnsi" w:cstheme="minorHAnsi"/>
            <w:sz w:val="22"/>
            <w:szCs w:val="22"/>
          </w:rPr>
          <w:t>https://eurlex.europa.eu/legal-content/IT/TXT/PDF/?uri=CELEX:32009R1005&amp;from=IT</w:t>
        </w:r>
      </w:hyperlink>
      <w:r w:rsidRPr="001F5AAA">
        <w:rPr>
          <w:rFonts w:asciiTheme="minorHAnsi" w:hAnsiTheme="minorHAnsi" w:cstheme="minorHAnsi"/>
          <w:sz w:val="22"/>
          <w:szCs w:val="22"/>
        </w:rPr>
        <w:t xml:space="preserve">); </w:t>
      </w:r>
    </w:p>
    <w:p w14:paraId="71DF23D1"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II della direttiva 2011/65/UE, tranne quando è garantito il pieno rispetto dell’articolo 4, paragrafo 1, di tale direttiva (link ove consultare il regolamento </w:t>
      </w:r>
      <w:hyperlink r:id="rId12" w:history="1">
        <w:r w:rsidRPr="001F5AAA">
          <w:rPr>
            <w:rStyle w:val="Collegamentoipertestuale"/>
            <w:rFonts w:asciiTheme="minorHAnsi" w:hAnsiTheme="minorHAnsi" w:cstheme="minorHAnsi"/>
            <w:sz w:val="22"/>
            <w:szCs w:val="22"/>
          </w:rPr>
          <w:t>https://eurlex.europa.eu/LexUriServ/LexUriServ.do?uri=OJ:L:2011:174:0088:0110:IT:PDF</w:t>
        </w:r>
      </w:hyperlink>
      <w:r w:rsidRPr="001F5AAA">
        <w:rPr>
          <w:rFonts w:asciiTheme="minorHAnsi" w:hAnsiTheme="minorHAnsi" w:cstheme="minorHAnsi"/>
          <w:sz w:val="22"/>
          <w:szCs w:val="22"/>
        </w:rPr>
        <w:t xml:space="preserve">) </w:t>
      </w:r>
    </w:p>
    <w:p w14:paraId="30518348"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un articolo, elencate nell’allegato XVII del regolamento (CE) n. 1907/2006, tranne quando è garantito il pieno rispetto delle condizioni di cui a tale allegato: </w:t>
      </w:r>
      <w:hyperlink r:id="rId13" w:history="1">
        <w:r w:rsidRPr="001F5AAA">
          <w:rPr>
            <w:rStyle w:val="Collegamentoipertestuale"/>
            <w:rFonts w:asciiTheme="minorHAnsi" w:hAnsiTheme="minorHAnsi" w:cstheme="minorHAnsi"/>
            <w:sz w:val="22"/>
            <w:szCs w:val="22"/>
          </w:rPr>
          <w:t>https://eur-lex.europa.eu/legalcontent/IT/TXT/PDF/?uri=CELEX:32006R1907R(01)</w:t>
        </w:r>
      </w:hyperlink>
      <w:r w:rsidRPr="001F5AAA">
        <w:rPr>
          <w:rFonts w:asciiTheme="minorHAnsi" w:hAnsiTheme="minorHAnsi" w:cstheme="minorHAnsi"/>
          <w:sz w:val="22"/>
          <w:szCs w:val="22"/>
        </w:rPr>
        <w:t xml:space="preserve">; </w:t>
      </w:r>
    </w:p>
    <w:p w14:paraId="614085FA" w14:textId="53949D2D"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in concentrazione superiore a 0,1% peso/peso, che soddisfano i criteri di cui all’articolo 57 del regolamento (CE) n. 1907/2006, che sono state identificate a norma dell’articolo 59, paragrafo 1, di tale regolamento, per un periodo di almeno 18 mesi, tranne</w:t>
      </w:r>
      <w:r w:rsidR="00CA1DF7">
        <w:rPr>
          <w:rFonts w:asciiTheme="minorHAnsi" w:hAnsiTheme="minorHAnsi" w:cstheme="minorHAnsi"/>
          <w:sz w:val="22"/>
          <w:szCs w:val="22"/>
        </w:rPr>
        <w:t xml:space="preserve"> </w:t>
      </w:r>
      <w:r w:rsidRPr="001F5AAA">
        <w:rPr>
          <w:rFonts w:asciiTheme="minorHAnsi" w:hAnsiTheme="minorHAnsi" w:cstheme="minorHAnsi"/>
          <w:sz w:val="22"/>
          <w:szCs w:val="22"/>
        </w:rPr>
        <w:t>se gli operatori valutano e documentano che non è disponibile sul mercato nessun’altra sostanza o tecnologia alternativa adatta e che sono usate in condizioni controllate. Si tratta di quelle elencate nell’</w:t>
      </w:r>
      <w:proofErr w:type="spellStart"/>
      <w:r w:rsidRPr="001F5AAA">
        <w:rPr>
          <w:rFonts w:asciiTheme="minorHAnsi" w:hAnsiTheme="minorHAnsi" w:cstheme="minorHAnsi"/>
          <w:sz w:val="22"/>
          <w:szCs w:val="22"/>
        </w:rPr>
        <w:t>Authorization</w:t>
      </w:r>
      <w:proofErr w:type="spellEnd"/>
      <w:r w:rsidRPr="001F5AAA">
        <w:rPr>
          <w:rFonts w:asciiTheme="minorHAnsi" w:hAnsiTheme="minorHAnsi" w:cstheme="minorHAnsi"/>
          <w:sz w:val="22"/>
          <w:szCs w:val="22"/>
        </w:rPr>
        <w:t xml:space="preserve"> List del Regolamento Reach consultabili al link </w:t>
      </w:r>
      <w:hyperlink r:id="rId14" w:history="1">
        <w:r w:rsidRPr="001F5AAA">
          <w:rPr>
            <w:rStyle w:val="Collegamentoipertestuale"/>
            <w:rFonts w:asciiTheme="minorHAnsi" w:hAnsiTheme="minorHAnsi" w:cstheme="minorHAnsi"/>
            <w:sz w:val="22"/>
            <w:szCs w:val="22"/>
          </w:rPr>
          <w:t>https://echa.europa.eu/it/candidate-list-table</w:t>
        </w:r>
      </w:hyperlink>
      <w:r w:rsidRPr="001F5AAA">
        <w:rPr>
          <w:rFonts w:asciiTheme="minorHAnsi" w:hAnsiTheme="minorHAnsi" w:cstheme="minorHAnsi"/>
          <w:sz w:val="22"/>
          <w:szCs w:val="22"/>
        </w:rPr>
        <w:t xml:space="preserve">; </w:t>
      </w:r>
    </w:p>
    <w:p w14:paraId="644E3C83" w14:textId="5227F074" w:rsidR="001F5AAA" w:rsidRP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altre sostanze, sia allo stato puro che all’interno di miscele o di un articolo, che soddisfano i criteri di cui all’art.57 del regolamento (CE) n. 1907/2006, tranne quando il loro uso si sia dimostrato essenziale per la società. </w:t>
      </w:r>
    </w:p>
    <w:p w14:paraId="31D82C02" w14:textId="77777777" w:rsidR="001F5AAA" w:rsidRDefault="001F5AAA" w:rsidP="001F5AAA">
      <w:pPr>
        <w:widowControl w:val="0"/>
        <w:spacing w:before="0" w:after="0" w:line="240" w:lineRule="auto"/>
        <w:rPr>
          <w:rFonts w:asciiTheme="minorHAnsi" w:hAnsiTheme="minorHAnsi" w:cstheme="minorHAnsi"/>
          <w:sz w:val="22"/>
          <w:szCs w:val="22"/>
        </w:rPr>
      </w:pPr>
    </w:p>
    <w:p w14:paraId="57481E53" w14:textId="1F748FE0" w:rsidR="001F5AAA" w:rsidRDefault="001F5AAA" w:rsidP="001F5AAA">
      <w:pPr>
        <w:pStyle w:val="Corpodeltesto1"/>
        <w:spacing w:before="120" w:line="360" w:lineRule="exact"/>
        <w:jc w:val="center"/>
        <w:rPr>
          <w:rFonts w:asciiTheme="minorHAnsi" w:hAnsiTheme="minorHAnsi" w:cstheme="minorHAnsi"/>
          <w:b/>
          <w:bCs/>
          <w:sz w:val="22"/>
          <w:szCs w:val="22"/>
        </w:rPr>
      </w:pPr>
      <w:r w:rsidRPr="00DB1588">
        <w:rPr>
          <w:rFonts w:asciiTheme="minorHAnsi" w:hAnsiTheme="minorHAnsi" w:cstheme="minorHAnsi"/>
          <w:b/>
          <w:bCs/>
          <w:caps/>
          <w:sz w:val="22"/>
          <w:szCs w:val="22"/>
        </w:rPr>
        <w:t>Dichiara</w:t>
      </w:r>
      <w:r w:rsidRPr="00DB1588">
        <w:rPr>
          <w:rFonts w:asciiTheme="minorHAnsi" w:hAnsiTheme="minorHAnsi" w:cstheme="minorHAnsi"/>
          <w:b/>
          <w:bCs/>
          <w:sz w:val="22"/>
          <w:szCs w:val="22"/>
        </w:rPr>
        <w:t xml:space="preserve"> </w:t>
      </w:r>
      <w:r>
        <w:rPr>
          <w:rFonts w:asciiTheme="minorHAnsi" w:hAnsiTheme="minorHAnsi" w:cstheme="minorHAnsi"/>
          <w:b/>
          <w:bCs/>
          <w:sz w:val="22"/>
          <w:szCs w:val="22"/>
        </w:rPr>
        <w:t>INOLTRE</w:t>
      </w:r>
    </w:p>
    <w:p w14:paraId="18E2FE72" w14:textId="77777777" w:rsidR="001F5AAA" w:rsidRDefault="001F5AAA" w:rsidP="001F5AAA">
      <w:pPr>
        <w:widowControl w:val="0"/>
        <w:spacing w:before="0" w:after="0" w:line="240" w:lineRule="auto"/>
        <w:rPr>
          <w:rFonts w:asciiTheme="minorHAnsi" w:hAnsiTheme="minorHAnsi" w:cstheme="minorHAnsi"/>
          <w:sz w:val="22"/>
          <w:szCs w:val="22"/>
        </w:rPr>
      </w:pPr>
    </w:p>
    <w:p w14:paraId="2568BCFA" w14:textId="1E5D3E36" w:rsidR="001F5AAA" w:rsidRDefault="008E3C3B" w:rsidP="001F5AAA">
      <w:pPr>
        <w:widowControl w:val="0"/>
        <w:spacing w:before="0" w:after="0" w:line="240" w:lineRule="auto"/>
        <w:rPr>
          <w:rFonts w:asciiTheme="minorHAnsi" w:hAnsiTheme="minorHAnsi" w:cstheme="minorHAnsi"/>
          <w:sz w:val="22"/>
          <w:szCs w:val="22"/>
        </w:rPr>
      </w:pPr>
      <w:r>
        <w:rPr>
          <w:rFonts w:asciiTheme="minorHAnsi" w:hAnsiTheme="minorHAnsi" w:cstheme="minorHAnsi"/>
          <w:sz w:val="22"/>
          <w:szCs w:val="22"/>
        </w:rPr>
        <w:t xml:space="preserve">che </w:t>
      </w:r>
      <w:r w:rsidR="001F5AAA" w:rsidRPr="001F5AAA">
        <w:rPr>
          <w:rFonts w:asciiTheme="minorHAnsi" w:hAnsiTheme="minorHAnsi" w:cstheme="minorHAnsi"/>
          <w:sz w:val="22"/>
          <w:szCs w:val="22"/>
        </w:rPr>
        <w:t>l’attività non comporta la fabbricazione, la presenza nel prodotto finale o nel risultato, o l’immissione sul mercato di altre sostanze, sia allo stato puro che all’interno di miscele o di articoli, in concentrazione superiore a 0,1 % peso/peso, che soddisfano i criteri del regolamento (CE) n. 1272/2008 per una delle classi di pericolo o delle categorie di pericolo di cui all’articolo 57 del regolamento (CE) n. 1907/2006, tranne se gli operatori hanno valutato e documentato che non è disponibile sul mercato nessun’altra sostanza o tecnologia alternativa adatta, e che sono usate in condizioni controllate.</w:t>
      </w:r>
    </w:p>
    <w:p w14:paraId="69607C0F" w14:textId="77777777" w:rsidR="001F5AAA" w:rsidRDefault="001F5AAA" w:rsidP="001F5AAA">
      <w:pPr>
        <w:widowControl w:val="0"/>
        <w:spacing w:before="0" w:after="0" w:line="240" w:lineRule="auto"/>
        <w:rPr>
          <w:rFonts w:asciiTheme="minorHAnsi" w:hAnsiTheme="minorHAnsi" w:cstheme="minorHAnsi"/>
          <w:sz w:val="22"/>
          <w:szCs w:val="22"/>
        </w:rPr>
      </w:pPr>
    </w:p>
    <w:p w14:paraId="2A46B1AB" w14:textId="77777777" w:rsidR="001F5AAA" w:rsidRDefault="001F5AAA" w:rsidP="001F5AAA">
      <w:pPr>
        <w:widowControl w:val="0"/>
        <w:spacing w:before="0" w:after="0" w:line="240" w:lineRule="auto"/>
        <w:rPr>
          <w:rFonts w:asciiTheme="minorHAnsi" w:hAnsiTheme="minorHAnsi" w:cstheme="minorHAnsi"/>
          <w:sz w:val="22"/>
          <w:szCs w:val="22"/>
        </w:rPr>
      </w:pPr>
    </w:p>
    <w:p w14:paraId="1C10E26B" w14:textId="77777777" w:rsidR="001F5AAA" w:rsidRDefault="001F5AAA" w:rsidP="001F5AAA">
      <w:pPr>
        <w:widowControl w:val="0"/>
        <w:spacing w:before="0" w:after="0" w:line="240" w:lineRule="auto"/>
        <w:rPr>
          <w:rFonts w:asciiTheme="minorHAnsi" w:hAnsiTheme="minorHAnsi" w:cstheme="minorHAnsi"/>
          <w:sz w:val="22"/>
          <w:szCs w:val="22"/>
        </w:rPr>
      </w:pPr>
    </w:p>
    <w:p w14:paraId="56C1A3AD" w14:textId="77777777" w:rsidR="001F5AAA" w:rsidRDefault="001F5AAA" w:rsidP="001F5AAA">
      <w:pPr>
        <w:widowControl w:val="0"/>
        <w:spacing w:before="0" w:after="0" w:line="240" w:lineRule="auto"/>
        <w:rPr>
          <w:rFonts w:asciiTheme="minorHAnsi" w:hAnsiTheme="minorHAnsi" w:cstheme="minorHAnsi"/>
          <w:sz w:val="22"/>
          <w:szCs w:val="22"/>
        </w:rPr>
      </w:pPr>
    </w:p>
    <w:p w14:paraId="6EEE9180" w14:textId="77777777" w:rsidR="007A0532" w:rsidRDefault="007A0532" w:rsidP="00CA1DF7">
      <w:pPr>
        <w:widowControl w:val="0"/>
        <w:spacing w:before="0" w:after="0" w:line="240" w:lineRule="auto"/>
        <w:jc w:val="right"/>
        <w:rPr>
          <w:rFonts w:ascii="Calibri" w:eastAsia="Calibri" w:hAnsi="Calibri" w:cs="Calibri"/>
          <w:sz w:val="20"/>
          <w:szCs w:val="20"/>
        </w:rPr>
      </w:pPr>
    </w:p>
    <w:p w14:paraId="456105D4" w14:textId="05AA3CE3" w:rsidR="008A73A5" w:rsidRPr="00855501" w:rsidRDefault="008A73A5" w:rsidP="00CA1DF7">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3"/>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4"/>
      </w:r>
      <w:bookmarkEnd w:id="1"/>
    </w:p>
    <w:p w14:paraId="4DF54ABB" w14:textId="25F338C0" w:rsidR="001061C1" w:rsidRPr="00CA1DF7" w:rsidRDefault="001061C1" w:rsidP="00CA1DF7">
      <w:pPr>
        <w:spacing w:before="0" w:after="0" w:line="240" w:lineRule="auto"/>
        <w:jc w:val="left"/>
        <w:rPr>
          <w:sz w:val="20"/>
          <w:szCs w:val="20"/>
          <w:lang w:eastAsia="en-US"/>
        </w:rPr>
      </w:pPr>
    </w:p>
    <w:sectPr w:rsidR="001061C1" w:rsidRPr="00CA1DF7" w:rsidSect="00897DAD">
      <w:headerReference w:type="default" r:id="rId15"/>
      <w:footerReference w:type="default" r:id="rId16"/>
      <w:headerReference w:type="first" r:id="rId17"/>
      <w:pgSz w:w="11906" w:h="16838"/>
      <w:pgMar w:top="1985" w:right="1134" w:bottom="1134"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EEC27" w14:textId="77777777" w:rsidR="007746F1" w:rsidRDefault="007746F1">
      <w:r>
        <w:separator/>
      </w:r>
    </w:p>
  </w:endnote>
  <w:endnote w:type="continuationSeparator" w:id="0">
    <w:p w14:paraId="011901AB" w14:textId="77777777" w:rsidR="007746F1" w:rsidRDefault="007746F1">
      <w:r>
        <w:continuationSeparator/>
      </w:r>
    </w:p>
  </w:endnote>
  <w:endnote w:type="continuationNotice" w:id="1">
    <w:p w14:paraId="48F69116" w14:textId="77777777" w:rsidR="00503D6C" w:rsidRDefault="00503D6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7959352C" w14:textId="433E68DE" w:rsidR="00897DAD" w:rsidRDefault="008913C2" w:rsidP="006454B6">
    <w:pPr>
      <w:pStyle w:val="Pidipagina"/>
      <w:spacing w:before="0" w:after="0" w:line="240" w:lineRule="auto"/>
      <w:jc w:val="right"/>
    </w:pPr>
    <w:r w:rsidRPr="008913C2">
      <w:rPr>
        <w:noProof/>
        <w:lang w:eastAsia="en-GB"/>
      </w:rPr>
      <w:drawing>
        <wp:inline distT="0" distB="0" distL="0" distR="0" wp14:anchorId="4C49E97C" wp14:editId="4A8F15E9">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317727CB" w14:textId="77777777" w:rsidR="008913C2" w:rsidRDefault="008913C2" w:rsidP="006454B6">
    <w:pPr>
      <w:pStyle w:val="Pidipagina"/>
      <w:spacing w:before="0" w:after="0" w:line="240" w:lineRule="auto"/>
      <w:jc w:val="right"/>
    </w:pPr>
  </w:p>
  <w:p w14:paraId="058C739B" w14:textId="77777777" w:rsidR="00897DAD" w:rsidRDefault="00897DAD" w:rsidP="006454B6">
    <w:pPr>
      <w:pStyle w:val="Pidipagina"/>
      <w:spacing w:before="0" w:after="0" w:line="240" w:lineRule="auto"/>
      <w:jc w:val="right"/>
    </w:pPr>
  </w:p>
  <w:tbl>
    <w:tblPr>
      <w:tblW w:w="6235"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9"/>
      <w:gridCol w:w="3315"/>
    </w:tblGrid>
    <w:tr w:rsidR="00897DAD" w:rsidRPr="00897DAD" w14:paraId="790C27D5" w14:textId="77777777" w:rsidTr="00895A79">
      <w:trPr>
        <w:cantSplit/>
        <w:trHeight w:val="688"/>
      </w:trPr>
      <w:tc>
        <w:tcPr>
          <w:tcW w:w="3618" w:type="pct"/>
          <w:tcBorders>
            <w:right w:val="nil"/>
          </w:tcBorders>
          <w:shd w:val="clear" w:color="auto" w:fill="2A65B0"/>
          <w:tcMar>
            <w:left w:w="567" w:type="dxa"/>
            <w:right w:w="340" w:type="dxa"/>
          </w:tcMar>
          <w:vAlign w:val="center"/>
        </w:tcPr>
        <w:p w14:paraId="4845ABC8" w14:textId="77777777" w:rsidR="00897DAD" w:rsidRPr="00897DAD" w:rsidRDefault="00897DAD" w:rsidP="00897DAD">
          <w:pPr>
            <w:spacing w:before="0" w:after="0" w:line="240" w:lineRule="auto"/>
            <w:jc w:val="left"/>
            <w:rPr>
              <w:rFonts w:ascii="Titillium Web" w:eastAsia="Calibri" w:hAnsi="Titillium Web"/>
              <w:color w:val="FFFFFF"/>
              <w:sz w:val="16"/>
              <w:szCs w:val="16"/>
              <w:lang w:val="en-US" w:eastAsia="en-US"/>
            </w:rPr>
          </w:pPr>
          <w:r w:rsidRPr="00897DAD">
            <w:rPr>
              <w:rFonts w:ascii="Titillium Web" w:eastAsia="Calibri" w:hAnsi="Titillium Web"/>
              <w:color w:val="FFFFFF"/>
              <w:sz w:val="16"/>
              <w:szCs w:val="16"/>
              <w:lang w:val="en-US" w:eastAsia="en-US"/>
            </w:rPr>
            <w:t>IR0000032 – ITINERIS Italian Integrated Environmental Research Infrastructures System - CUP B53C22002150006</w:t>
          </w:r>
        </w:p>
        <w:p w14:paraId="33DBF04C" w14:textId="77777777" w:rsidR="00897DAD" w:rsidRPr="00897DAD" w:rsidRDefault="00897DAD" w:rsidP="00897DAD">
          <w:pPr>
            <w:spacing w:before="0" w:after="0" w:line="240" w:lineRule="auto"/>
            <w:jc w:val="left"/>
            <w:rPr>
              <w:rFonts w:ascii="Titillium Web" w:eastAsia="Calibri" w:hAnsi="Titillium Web"/>
              <w:color w:val="FFFFFF"/>
              <w:sz w:val="16"/>
              <w:szCs w:val="16"/>
              <w:lang w:eastAsia="en-US"/>
            </w:rPr>
          </w:pPr>
          <w:r w:rsidRPr="00897DAD">
            <w:rPr>
              <w:rFonts w:ascii="Titillium Web" w:eastAsia="Calibri" w:hAnsi="Titillium Web"/>
              <w:color w:val="FFFFFF"/>
              <w:sz w:val="16"/>
              <w:szCs w:val="16"/>
              <w:lang w:eastAsia="en-US"/>
            </w:rPr>
            <w:t xml:space="preserve">Missione 4, “Istruzione e ricerca” - Componente 2, “Dalla ricerca all’impresa” </w:t>
          </w:r>
        </w:p>
        <w:p w14:paraId="179E68E1" w14:textId="77777777" w:rsidR="00897DAD" w:rsidRPr="00897DAD" w:rsidRDefault="00897DAD" w:rsidP="00897DAD">
          <w:pPr>
            <w:spacing w:before="0" w:after="0" w:line="240" w:lineRule="auto"/>
            <w:jc w:val="left"/>
            <w:rPr>
              <w:rFonts w:ascii="Titillium Web" w:eastAsia="Calibri" w:hAnsi="Titillium Web"/>
              <w:color w:val="FFFFFF"/>
              <w:sz w:val="16"/>
              <w:szCs w:val="16"/>
              <w:lang w:eastAsia="en-US"/>
            </w:rPr>
          </w:pPr>
          <w:r w:rsidRPr="00897DAD">
            <w:rPr>
              <w:rFonts w:ascii="Titillium Web" w:eastAsia="Calibri" w:hAnsi="Titillium Web"/>
              <w:color w:val="FFFFFF"/>
              <w:sz w:val="16"/>
              <w:szCs w:val="16"/>
              <w:lang w:eastAsia="en-US"/>
            </w:rPr>
            <w:t>Investimento 3.1, “Fondo per la realizzazione di un sistema integrato di infrastrutture di ricerca e innovazione”</w:t>
          </w:r>
        </w:p>
      </w:tc>
      <w:tc>
        <w:tcPr>
          <w:tcW w:w="1382" w:type="pct"/>
          <w:tcBorders>
            <w:left w:val="nil"/>
            <w:bottom w:val="nil"/>
          </w:tcBorders>
          <w:shd w:val="clear" w:color="auto" w:fill="2A65B0"/>
          <w:vAlign w:val="center"/>
        </w:tcPr>
        <w:p w14:paraId="332A4E57" w14:textId="77777777" w:rsidR="00897DAD" w:rsidRPr="00897DAD" w:rsidRDefault="00897DAD" w:rsidP="00897DAD">
          <w:pPr>
            <w:autoSpaceDE w:val="0"/>
            <w:autoSpaceDN w:val="0"/>
            <w:adjustRightInd w:val="0"/>
            <w:spacing w:before="0" w:after="0" w:line="240" w:lineRule="auto"/>
            <w:jc w:val="center"/>
            <w:rPr>
              <w:rFonts w:ascii="Titillium Web" w:eastAsia="Calibri" w:hAnsi="Titillium Web" w:cs="BkwnxrHelveticaLTCom"/>
              <w:bCs/>
              <w:i/>
              <w:color w:val="FFFF00"/>
              <w:sz w:val="16"/>
              <w:szCs w:val="16"/>
              <w:lang w:eastAsia="en-US"/>
            </w:rPr>
          </w:pPr>
          <w:r w:rsidRPr="00897DAD">
            <w:rPr>
              <w:rFonts w:ascii="Titillium Web" w:eastAsia="Calibri" w:hAnsi="Titillium Web" w:cs="BkwnxrHelveticaLTCom"/>
              <w:b/>
              <w:bCs/>
              <w:noProof/>
              <w:color w:val="FFFFFF"/>
              <w:sz w:val="28"/>
              <w:szCs w:val="28"/>
              <w:lang w:val="en-US" w:eastAsia="en-US"/>
            </w:rPr>
            <w:drawing>
              <wp:anchor distT="0" distB="0" distL="114300" distR="114300" simplePos="0" relativeHeight="251662336" behindDoc="0" locked="0" layoutInCell="1" allowOverlap="1" wp14:anchorId="62611A7A" wp14:editId="42419D27">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1FAADF4" w14:textId="77777777" w:rsidR="007A0532" w:rsidRPr="00E647BB" w:rsidRDefault="007A0532" w:rsidP="007A0532">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DE202" w14:textId="77777777" w:rsidR="007746F1" w:rsidRDefault="007746F1">
      <w:r>
        <w:separator/>
      </w:r>
    </w:p>
  </w:footnote>
  <w:footnote w:type="continuationSeparator" w:id="0">
    <w:p w14:paraId="483A2E08" w14:textId="77777777" w:rsidR="007746F1" w:rsidRDefault="007746F1">
      <w:r>
        <w:continuationSeparator/>
      </w:r>
    </w:p>
  </w:footnote>
  <w:footnote w:type="continuationNotice" w:id="1">
    <w:p w14:paraId="2DF1F56D" w14:textId="77777777" w:rsidR="00503D6C" w:rsidRDefault="00503D6C">
      <w:pPr>
        <w:spacing w:before="0" w:after="0" w:line="240" w:lineRule="auto"/>
      </w:pPr>
    </w:p>
  </w:footnote>
  <w:footnote w:id="2">
    <w:p w14:paraId="490EC5D7" w14:textId="52856A00" w:rsidR="00CA1DF7" w:rsidRPr="00CA1DF7" w:rsidRDefault="00CA1DF7" w:rsidP="000971C1">
      <w:pPr>
        <w:pStyle w:val="Testonotaapidipagina"/>
        <w:spacing w:after="0" w:line="240" w:lineRule="auto"/>
        <w:rPr>
          <w:rFonts w:asciiTheme="minorHAnsi" w:hAnsiTheme="minorHAnsi" w:cstheme="minorHAnsi"/>
          <w:sz w:val="16"/>
          <w:szCs w:val="16"/>
        </w:rPr>
      </w:pPr>
      <w:r w:rsidRPr="00CA1DF7">
        <w:rPr>
          <w:rStyle w:val="Rimandonotaapidipagina"/>
          <w:rFonts w:asciiTheme="minorHAnsi" w:hAnsiTheme="minorHAnsi" w:cstheme="minorHAnsi"/>
          <w:szCs w:val="16"/>
          <w:vertAlign w:val="superscript"/>
        </w:rPr>
        <w:footnoteRef/>
      </w:r>
      <w:r w:rsidRPr="00CA1DF7">
        <w:rPr>
          <w:rFonts w:asciiTheme="minorHAnsi" w:hAnsiTheme="minorHAnsi" w:cstheme="minorHAnsi"/>
          <w:sz w:val="16"/>
          <w:szCs w:val="16"/>
          <w:vertAlign w:val="superscript"/>
        </w:rPr>
        <w:t xml:space="preserve"> </w:t>
      </w:r>
      <w:r w:rsidRPr="00CA1DF7">
        <w:rPr>
          <w:rFonts w:asciiTheme="minorHAnsi" w:hAnsiTheme="minorHAnsi" w:cstheme="minorHAnsi"/>
          <w:sz w:val="16"/>
          <w:szCs w:val="16"/>
        </w:rPr>
        <w:t>Dichiarazione da rendere in caso di approvvigionamento di strumentazioni/app</w:t>
      </w:r>
      <w:r>
        <w:rPr>
          <w:rFonts w:asciiTheme="minorHAnsi" w:hAnsiTheme="minorHAnsi" w:cstheme="minorHAnsi"/>
          <w:sz w:val="16"/>
          <w:szCs w:val="16"/>
        </w:rPr>
        <w:t>arecchiature</w:t>
      </w:r>
      <w:r w:rsidRPr="00CA1DF7">
        <w:rPr>
          <w:rFonts w:asciiTheme="minorHAnsi" w:hAnsiTheme="minorHAnsi" w:cstheme="minorHAnsi"/>
          <w:sz w:val="16"/>
          <w:szCs w:val="16"/>
        </w:rPr>
        <w:t xml:space="preserve"> che r</w:t>
      </w:r>
      <w:r>
        <w:rPr>
          <w:rFonts w:asciiTheme="minorHAnsi" w:hAnsiTheme="minorHAnsi" w:cstheme="minorHAnsi"/>
          <w:sz w:val="16"/>
          <w:szCs w:val="16"/>
        </w:rPr>
        <w:t>ientrino</w:t>
      </w:r>
      <w:r w:rsidRPr="00CA1DF7">
        <w:rPr>
          <w:rFonts w:asciiTheme="minorHAnsi" w:hAnsiTheme="minorHAnsi" w:cstheme="minorHAnsi"/>
          <w:sz w:val="16"/>
          <w:szCs w:val="16"/>
        </w:rPr>
        <w:t xml:space="preserve"> nel campo di applicazione della Scheda 3 </w:t>
      </w:r>
      <w:r>
        <w:rPr>
          <w:rFonts w:asciiTheme="minorHAnsi" w:hAnsiTheme="minorHAnsi" w:cstheme="minorHAnsi"/>
          <w:sz w:val="16"/>
          <w:szCs w:val="16"/>
        </w:rPr>
        <w:t>“Apparecchiature elettriche ed elettroniche”, in modo da garantire il rispetto del principio di “Prevenzione e riduzione dell’inquinamento”.</w:t>
      </w:r>
    </w:p>
  </w:footnote>
  <w:footnote w:id="3">
    <w:p w14:paraId="208B8F48" w14:textId="54308E10" w:rsidR="008A73A5" w:rsidRPr="00B10CA3" w:rsidRDefault="008A73A5" w:rsidP="008A73A5">
      <w:pPr>
        <w:pStyle w:val="Testonotaapidipagina"/>
        <w:spacing w:after="0" w:line="240" w:lineRule="auto"/>
        <w:jc w:val="both"/>
        <w:rPr>
          <w:rFonts w:ascii="Calibri" w:hAnsi="Calibri" w:cs="Calibri"/>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Per gli operatori economici italiani o stranieri residenti in Italia, la dichiarazione deve essere sottoscritta da un legale rappresentante ovvero da un procuratore</w:t>
      </w:r>
      <w:r w:rsidR="00C1433F" w:rsidRPr="00B10CA3">
        <w:rPr>
          <w:rFonts w:ascii="Calibri" w:hAnsi="Calibri" w:cs="Calibri"/>
          <w:sz w:val="13"/>
          <w:szCs w:val="13"/>
          <w:vertAlign w:val="superscript"/>
        </w:rPr>
        <w:t xml:space="preserve">6  </w:t>
      </w:r>
      <w:r w:rsidRPr="00B10CA3">
        <w:rPr>
          <w:rFonts w:ascii="Calibri" w:hAnsi="Calibri" w:cs="Calibri"/>
          <w:sz w:val="13"/>
          <w:szCs w:val="13"/>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5048D68" w14:textId="77777777" w:rsidR="008A73A5" w:rsidRPr="00B10CA3" w:rsidRDefault="008A73A5" w:rsidP="008A73A5">
      <w:pPr>
        <w:pStyle w:val="Testonotaapidipagina"/>
        <w:spacing w:after="0" w:line="240" w:lineRule="auto"/>
        <w:jc w:val="both"/>
        <w:rPr>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8240"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Default="00BE3DBC" w:rsidP="00E647BB">
    <w:pPr>
      <w:pStyle w:val="Intestazione"/>
      <w:tabs>
        <w:tab w:val="clear" w:pos="4819"/>
        <w:tab w:val="clear" w:pos="9638"/>
      </w:tabs>
      <w:jc w:val="left"/>
    </w:pPr>
  </w:p>
  <w:p w14:paraId="3137128E" w14:textId="77777777" w:rsidR="00430055" w:rsidRDefault="00430055" w:rsidP="00E647BB">
    <w:pPr>
      <w:pStyle w:val="Intestazione"/>
      <w:tabs>
        <w:tab w:val="clear" w:pos="4819"/>
        <w:tab w:val="clear" w:pos="9638"/>
      </w:tabs>
      <w:jc w:val="left"/>
    </w:pPr>
  </w:p>
  <w:p w14:paraId="3E5E2F65" w14:textId="77777777" w:rsidR="00430055" w:rsidRDefault="00430055" w:rsidP="00E647BB">
    <w:pPr>
      <w:pStyle w:val="Intestazione"/>
      <w:tabs>
        <w:tab w:val="clear" w:pos="4819"/>
        <w:tab w:val="clear" w:pos="9638"/>
      </w:tabs>
      <w:jc w:val="left"/>
    </w:pPr>
  </w:p>
  <w:p w14:paraId="2E341C40" w14:textId="5DB727DE" w:rsidR="00430055" w:rsidRDefault="00430055" w:rsidP="00E647BB">
    <w:pPr>
      <w:pStyle w:val="Intestazione"/>
      <w:tabs>
        <w:tab w:val="clear" w:pos="4819"/>
        <w:tab w:val="clear" w:pos="9638"/>
      </w:tabs>
      <w:jc w:val="left"/>
    </w:pPr>
    <w:r w:rsidRPr="00430055">
      <w:rPr>
        <w:noProof/>
        <w:sz w:val="24"/>
        <w:szCs w:val="24"/>
        <w:lang w:eastAsia="en-GB"/>
      </w:rPr>
      <w:drawing>
        <wp:anchor distT="0" distB="0" distL="114300" distR="114300" simplePos="0" relativeHeight="251660288" behindDoc="1" locked="0" layoutInCell="1" allowOverlap="1" wp14:anchorId="1FA8FE9F" wp14:editId="5681643C">
          <wp:simplePos x="0" y="0"/>
          <wp:positionH relativeFrom="margin">
            <wp:align>left</wp:align>
          </wp:positionH>
          <wp:positionV relativeFrom="paragraph">
            <wp:posOffset>8255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699098AA" w14:textId="2DD84AB7" w:rsidR="00430055" w:rsidRDefault="00430055" w:rsidP="00E647BB">
    <w:pPr>
      <w:pStyle w:val="Intestazione"/>
      <w:tabs>
        <w:tab w:val="clear" w:pos="4819"/>
        <w:tab w:val="clear" w:pos="9638"/>
      </w:tabs>
      <w:jc w:val="left"/>
    </w:pPr>
  </w:p>
  <w:p w14:paraId="36E712CD" w14:textId="77777777" w:rsidR="00430055" w:rsidRDefault="00430055" w:rsidP="00E647BB">
    <w:pPr>
      <w:pStyle w:val="Intestazione"/>
      <w:tabs>
        <w:tab w:val="clear" w:pos="4819"/>
        <w:tab w:val="clear" w:pos="9638"/>
      </w:tabs>
      <w:jc w:val="left"/>
    </w:pPr>
  </w:p>
  <w:p w14:paraId="12BA8176" w14:textId="77777777" w:rsidR="00430055" w:rsidRPr="00BC388F" w:rsidRDefault="00430055"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C06327"/>
    <w:multiLevelType w:val="hybridMultilevel"/>
    <w:tmpl w:val="4C84C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 w15:restartNumberingAfterBreak="0">
    <w:nsid w:val="2A0424A8"/>
    <w:multiLevelType w:val="hybridMultilevel"/>
    <w:tmpl w:val="5DD04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4"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08D15E7"/>
    <w:multiLevelType w:val="hybridMultilevel"/>
    <w:tmpl w:val="3B36E22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2B74E8E"/>
    <w:multiLevelType w:val="hybridMultilevel"/>
    <w:tmpl w:val="E34C9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5"/>
  </w:num>
  <w:num w:numId="3" w16cid:durableId="392387605">
    <w:abstractNumId w:val="7"/>
  </w:num>
  <w:num w:numId="4" w16cid:durableId="636224360">
    <w:abstractNumId w:val="11"/>
  </w:num>
  <w:num w:numId="5" w16cid:durableId="2056394492">
    <w:abstractNumId w:val="18"/>
  </w:num>
  <w:num w:numId="6" w16cid:durableId="381440517">
    <w:abstractNumId w:val="14"/>
  </w:num>
  <w:num w:numId="7" w16cid:durableId="323628437">
    <w:abstractNumId w:val="9"/>
  </w:num>
  <w:num w:numId="8" w16cid:durableId="765613216">
    <w:abstractNumId w:val="6"/>
  </w:num>
  <w:num w:numId="9" w16cid:durableId="171916993">
    <w:abstractNumId w:val="1"/>
  </w:num>
  <w:num w:numId="10" w16cid:durableId="114103309">
    <w:abstractNumId w:val="4"/>
  </w:num>
  <w:num w:numId="11" w16cid:durableId="495654002">
    <w:abstractNumId w:val="16"/>
  </w:num>
  <w:num w:numId="12" w16cid:durableId="1655521690">
    <w:abstractNumId w:val="3"/>
  </w:num>
  <w:num w:numId="13" w16cid:durableId="629362016">
    <w:abstractNumId w:val="12"/>
  </w:num>
  <w:num w:numId="14" w16cid:durableId="2124767150">
    <w:abstractNumId w:val="17"/>
  </w:num>
  <w:num w:numId="15" w16cid:durableId="1915309118">
    <w:abstractNumId w:val="15"/>
  </w:num>
  <w:num w:numId="16" w16cid:durableId="2811079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1C1"/>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4B50"/>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3C44"/>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B09"/>
    <w:rsid w:val="001F1D3B"/>
    <w:rsid w:val="001F2958"/>
    <w:rsid w:val="001F2C61"/>
    <w:rsid w:val="001F4C49"/>
    <w:rsid w:val="001F5084"/>
    <w:rsid w:val="001F5AAA"/>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2565"/>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01F"/>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738"/>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0055"/>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6121"/>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D6C"/>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090E"/>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746F1"/>
    <w:rsid w:val="00781FD2"/>
    <w:rsid w:val="00782B1D"/>
    <w:rsid w:val="0078325C"/>
    <w:rsid w:val="00784C5A"/>
    <w:rsid w:val="007851A5"/>
    <w:rsid w:val="00787FBB"/>
    <w:rsid w:val="00790041"/>
    <w:rsid w:val="0079062F"/>
    <w:rsid w:val="007911C6"/>
    <w:rsid w:val="00791D5F"/>
    <w:rsid w:val="00791E42"/>
    <w:rsid w:val="007A0532"/>
    <w:rsid w:val="007A3052"/>
    <w:rsid w:val="007A3D37"/>
    <w:rsid w:val="007A458D"/>
    <w:rsid w:val="007A61D2"/>
    <w:rsid w:val="007A79E7"/>
    <w:rsid w:val="007B257D"/>
    <w:rsid w:val="007B2A46"/>
    <w:rsid w:val="007B38FB"/>
    <w:rsid w:val="007B5A66"/>
    <w:rsid w:val="007B64F2"/>
    <w:rsid w:val="007B688F"/>
    <w:rsid w:val="007B6933"/>
    <w:rsid w:val="007B6A4D"/>
    <w:rsid w:val="007C0409"/>
    <w:rsid w:val="007C1F59"/>
    <w:rsid w:val="007C2127"/>
    <w:rsid w:val="007C25E4"/>
    <w:rsid w:val="007C40A0"/>
    <w:rsid w:val="007C4637"/>
    <w:rsid w:val="007C6AE4"/>
    <w:rsid w:val="007C73F6"/>
    <w:rsid w:val="007D2553"/>
    <w:rsid w:val="007D2686"/>
    <w:rsid w:val="007D2730"/>
    <w:rsid w:val="007D2742"/>
    <w:rsid w:val="007D34AF"/>
    <w:rsid w:val="007D75EF"/>
    <w:rsid w:val="007D7FAB"/>
    <w:rsid w:val="007E0A76"/>
    <w:rsid w:val="007E0C2F"/>
    <w:rsid w:val="007E0FBD"/>
    <w:rsid w:val="007E249A"/>
    <w:rsid w:val="007E4103"/>
    <w:rsid w:val="007E58ED"/>
    <w:rsid w:val="007E5D5E"/>
    <w:rsid w:val="007E7FD3"/>
    <w:rsid w:val="007F0D75"/>
    <w:rsid w:val="007F0F4C"/>
    <w:rsid w:val="007F1064"/>
    <w:rsid w:val="007F12B9"/>
    <w:rsid w:val="007F154B"/>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5501"/>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3C2"/>
    <w:rsid w:val="00891713"/>
    <w:rsid w:val="00894529"/>
    <w:rsid w:val="008967C2"/>
    <w:rsid w:val="0089746E"/>
    <w:rsid w:val="008975E8"/>
    <w:rsid w:val="00897DAD"/>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3C3B"/>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40F"/>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045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5BE"/>
    <w:rsid w:val="00A14DF2"/>
    <w:rsid w:val="00A169A2"/>
    <w:rsid w:val="00A24BFD"/>
    <w:rsid w:val="00A2528F"/>
    <w:rsid w:val="00A30A5D"/>
    <w:rsid w:val="00A32F51"/>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0CA3"/>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1DF7"/>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31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5846"/>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6B0D"/>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43A0"/>
    <w:rsid w:val="00ED5122"/>
    <w:rsid w:val="00ED6E40"/>
    <w:rsid w:val="00ED6F5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6BF9"/>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19D"/>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1">
    <w:name w:val="Corpo del testo1"/>
    <w:basedOn w:val="Normale"/>
    <w:uiPriority w:val="99"/>
    <w:qFormat/>
    <w:rsid w:val="003B7738"/>
    <w:pPr>
      <w:suppressAutoHyphens/>
      <w:spacing w:before="0" w:line="240" w:lineRule="auto"/>
      <w:jc w:val="left"/>
    </w:pPr>
    <w:rPr>
      <w:lang w:eastAsia="ar-SA"/>
    </w:rPr>
  </w:style>
  <w:style w:type="character" w:styleId="Menzionenonrisolta">
    <w:name w:val="Unresolved Mention"/>
    <w:basedOn w:val="Carpredefinitoparagrafo"/>
    <w:uiPriority w:val="99"/>
    <w:semiHidden/>
    <w:unhideWhenUsed/>
    <w:rsid w:val="001F5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IT/TXT/PDF/?uri=CELEX:32006R1907R(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xUriServ/LexUriServ.do?uri=OJ:L:2011:174:0088:0110:IT: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IT/TXT/PDF/?uri=CELEX:32009R1005&amp;from=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ha.europa.eu/it/candidate-list-tabl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758</Words>
  <Characters>4949</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12</cp:revision>
  <cp:lastPrinted>2024-04-23T09:58:00Z</cp:lastPrinted>
  <dcterms:created xsi:type="dcterms:W3CDTF">2024-04-24T17:39:00Z</dcterms:created>
  <dcterms:modified xsi:type="dcterms:W3CDTF">2024-07-03T13:52:00Z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